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55473A6" w14:textId="2D6A57CE" w:rsidR="00F13AFA" w:rsidRDefault="00F13AFA" w:rsidP="00F13AFA">
      <w:pPr>
        <w:rPr>
          <w:rFonts w:ascii="Palatino Linotype" w:hAnsi="Palatino Linotype" w:cs="Palatino Linotype"/>
          <w:b/>
          <w:bCs/>
          <w:sz w:val="22"/>
          <w:szCs w:val="24"/>
        </w:rPr>
      </w:pPr>
      <w:r>
        <w:rPr>
          <w:rFonts w:ascii="Palatino Linotype" w:hAnsi="Palatino Linotype" w:cs="Palatino Linotype"/>
          <w:b/>
          <w:bCs/>
          <w:sz w:val="22"/>
          <w:szCs w:val="24"/>
        </w:rPr>
        <w:t>Supporting information</w:t>
      </w:r>
    </w:p>
    <w:p w14:paraId="7B75847E" w14:textId="77777777" w:rsidR="00593AC1" w:rsidRDefault="00593AC1" w:rsidP="00F13AFA">
      <w:pPr>
        <w:rPr>
          <w:rFonts w:ascii="Palatino Linotype" w:hAnsi="Palatino Linotype" w:cs="Palatino Linotype"/>
          <w:b/>
          <w:bCs/>
          <w:noProof/>
          <w:sz w:val="22"/>
          <w:szCs w:val="24"/>
        </w:rPr>
      </w:pPr>
    </w:p>
    <w:p w14:paraId="63B7436A" w14:textId="736EC481" w:rsidR="00593AC1" w:rsidRDefault="00593AC1" w:rsidP="00F13AFA">
      <w:pPr>
        <w:rPr>
          <w:rFonts w:ascii="Palatino Linotype" w:hAnsi="Palatino Linotype" w:cs="Palatino Linotype" w:hint="eastAsia"/>
          <w:b/>
          <w:bCs/>
          <w:sz w:val="22"/>
          <w:szCs w:val="24"/>
        </w:rPr>
      </w:pPr>
      <w:r>
        <w:rPr>
          <w:rFonts w:ascii="Palatino Linotype" w:hAnsi="Palatino Linotype" w:cs="Palatino Linotype" w:hint="eastAsia"/>
          <w:b/>
          <w:bCs/>
          <w:noProof/>
          <w:sz w:val="22"/>
          <w:szCs w:val="24"/>
        </w:rPr>
        <w:drawing>
          <wp:inline distT="0" distB="0" distL="0" distR="0" wp14:anchorId="4A0809FA" wp14:editId="66736175">
            <wp:extent cx="5278120" cy="490537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lementary Fig. 1.tif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4283"/>
                    <a:stretch/>
                  </pic:blipFill>
                  <pic:spPr bwMode="auto">
                    <a:xfrm>
                      <a:off x="0" y="0"/>
                      <a:ext cx="5278120" cy="4905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E56679" w14:textId="6668CAE2" w:rsidR="00F13AFA" w:rsidRDefault="00F13AFA" w:rsidP="00F13AFA">
      <w:pPr>
        <w:rPr>
          <w:rFonts w:ascii="Palatino Linotype" w:eastAsia="Times New Roman" w:hAnsi="Palatino Linotype" w:cs="Times New Roman"/>
          <w:snapToGrid w:val="0"/>
          <w:color w:val="000000" w:themeColor="text1"/>
          <w:kern w:val="0"/>
          <w:sz w:val="20"/>
          <w:lang w:bidi="en-US"/>
        </w:rPr>
      </w:pPr>
      <w:r w:rsidRPr="00E35DEA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>Supplementary Fig.</w:t>
      </w:r>
      <w:r w:rsidRPr="00E35DEA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 1.</w:t>
      </w:r>
      <w:r w:rsidRPr="00E35DEA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  <w:t xml:space="preserve"> </w:t>
      </w:r>
      <w:r w:rsidRPr="00E35DEA">
        <w:rPr>
          <w:rFonts w:ascii="Palatino Linotype" w:eastAsia="Times New Roman" w:hAnsi="Palatino Linotype" w:cs="Times New Roman"/>
          <w:b/>
          <w:bCs/>
          <w:snapToGrid w:val="0"/>
          <w:color w:val="000000" w:themeColor="text1"/>
          <w:kern w:val="0"/>
          <w:sz w:val="20"/>
          <w:szCs w:val="20"/>
          <w:lang w:bidi="en-US"/>
        </w:rPr>
        <w:t>Analysis of intracellular expression and mRNA levels of XLOC_015548 using FISH</w:t>
      </w:r>
      <w:r>
        <w:rPr>
          <w:rFonts w:ascii="宋体" w:eastAsia="宋体" w:hAnsi="宋体" w:cs="宋体" w:hint="eastAsia"/>
          <w:b/>
          <w:bCs/>
          <w:snapToGrid w:val="0"/>
          <w:color w:val="000000" w:themeColor="text1"/>
          <w:kern w:val="0"/>
          <w:sz w:val="20"/>
          <w:szCs w:val="20"/>
          <w:lang w:bidi="en-US"/>
        </w:rPr>
        <w:t>.</w:t>
      </w:r>
      <w:r w:rsidRPr="00E35DEA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eastAsia="de-DE" w:bidi="en-US"/>
        </w:rPr>
        <w:t xml:space="preserve"> </w:t>
      </w:r>
      <w:r w:rsidRPr="00E35DEA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(A) FISH images show changes in mitochondrial structure and colocalization patterns between the control group (OE-Ctrl) and XLOC_015548 overexpression group (OE-XLOC). </w:t>
      </w:r>
      <w:r w:rsidR="008D6A19" w:rsidRPr="008D6A19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The positive signals in the FISH experiment are labeled in red</w:t>
      </w:r>
      <w:r w:rsidRPr="00E35DEA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, and nuclei are labeled in blue. Colocalization Pearson correlation coefficients of red-blue signals were calculated from three gated regions and p</w:t>
      </w:r>
      <w:r w:rsidRPr="00E35DEA">
        <w:rPr>
          <w:rFonts w:ascii="Palatino Linotype" w:eastAsia="Times New Roman" w:hAnsi="Palatino Linotype" w:cs="Times New Roman"/>
          <w:snapToGrid w:val="0"/>
          <w:color w:val="000000" w:themeColor="text1"/>
          <w:kern w:val="0"/>
          <w:sz w:val="20"/>
          <w:lang w:bidi="en-US"/>
        </w:rPr>
        <w:t>resented in scatter plots. Red, green, and blue signals in colocalization scatter plots correspond to three gated regions. The plot profile shows pixel intensity distributions of DAPI (</w:t>
      </w:r>
      <w:r w:rsidRPr="00CA3470">
        <w:rPr>
          <w:rFonts w:ascii="Palatino Linotype" w:eastAsia="Times New Roman" w:hAnsi="Palatino Linotype" w:cs="Times New Roman"/>
          <w:snapToGrid w:val="0"/>
          <w:color w:val="000000" w:themeColor="text1"/>
          <w:kern w:val="0"/>
          <w:sz w:val="20"/>
          <w:lang w:bidi="en-US"/>
        </w:rPr>
        <w:t>blue) and FISH (red) fluorescence signals. Scale bars: 20 µm (3D view), 40 µm (overview), and 1</w:t>
      </w:r>
      <w:r w:rsidR="006B0C6F" w:rsidRPr="00CA3470">
        <w:rPr>
          <w:rFonts w:ascii="Palatino Linotype" w:eastAsia="Times New Roman" w:hAnsi="Palatino Linotype" w:cs="Times New Roman" w:hint="eastAsia"/>
          <w:snapToGrid w:val="0"/>
          <w:color w:val="000000" w:themeColor="text1"/>
          <w:kern w:val="0"/>
          <w:sz w:val="20"/>
          <w:lang w:bidi="en-US"/>
        </w:rPr>
        <w:t>5</w:t>
      </w:r>
      <w:r w:rsidRPr="00CA3470">
        <w:rPr>
          <w:rFonts w:ascii="Palatino Linotype" w:eastAsia="Times New Roman" w:hAnsi="Palatino Linotype" w:cs="Times New Roman"/>
          <w:snapToGrid w:val="0"/>
          <w:color w:val="000000" w:themeColor="text1"/>
          <w:kern w:val="0"/>
          <w:sz w:val="20"/>
          <w:lang w:bidi="en-US"/>
        </w:rPr>
        <w:t xml:space="preserve"> µm (magnified view).</w:t>
      </w:r>
      <w:r w:rsidRPr="00CA3470">
        <w:rPr>
          <w:rFonts w:ascii="Palatino Linotype" w:eastAsia="Times New Roman" w:hAnsi="Palatino Linotype" w:cs="Times New Roman" w:hint="eastAsia"/>
          <w:snapToGrid w:val="0"/>
          <w:color w:val="000000" w:themeColor="text1"/>
          <w:kern w:val="0"/>
          <w:sz w:val="20"/>
          <w:lang w:bidi="en-US"/>
        </w:rPr>
        <w:t xml:space="preserve"> </w:t>
      </w:r>
      <w:r w:rsidRPr="00CA3470">
        <w:rPr>
          <w:rFonts w:ascii="Palatino Linotype" w:eastAsia="Times New Roman" w:hAnsi="Palatino Linotype" w:cs="Times New Roman"/>
          <w:snapToGrid w:val="0"/>
          <w:color w:val="000000" w:themeColor="text1"/>
          <w:kern w:val="0"/>
          <w:sz w:val="20"/>
          <w:lang w:bidi="en-US"/>
        </w:rPr>
        <w:t>(B) mRNA expression levels of XLOC_015548 in different groups were determin</w:t>
      </w:r>
      <w:r w:rsidRPr="00E35DEA">
        <w:rPr>
          <w:rFonts w:ascii="Palatino Linotype" w:eastAsia="Times New Roman" w:hAnsi="Palatino Linotype" w:cs="Times New Roman"/>
          <w:snapToGrid w:val="0"/>
          <w:color w:val="000000" w:themeColor="text1"/>
          <w:kern w:val="0"/>
          <w:sz w:val="20"/>
          <w:lang w:bidi="en-US"/>
        </w:rPr>
        <w:t>ed by RT-qPCR. Data are presented as mean ± SD (n = 3). Statistical significance was assessed by Student’s t-test (*p &lt; 0.05, **p &lt; 0.01, ***p &lt; 0.001, ns = not significant).</w:t>
      </w:r>
    </w:p>
    <w:p w14:paraId="5D3C3CB5" w14:textId="6AF1C837" w:rsidR="00593AC1" w:rsidRDefault="00593AC1" w:rsidP="00F13AFA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589AC55D" w14:textId="44926377" w:rsidR="00593AC1" w:rsidRDefault="00593AC1" w:rsidP="00F13AFA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3EFEAE89" w14:textId="37B39F49" w:rsidR="00593AC1" w:rsidRPr="008D6A19" w:rsidRDefault="00593AC1" w:rsidP="00F13AFA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bookmarkStart w:id="0" w:name="_GoBack"/>
      <w:bookmarkEnd w:id="0"/>
      <w:r>
        <w:rPr>
          <w:rFonts w:ascii="Palatino Linotype" w:eastAsia="Times New Roman" w:hAnsi="Palatino Linotype" w:cs="Palatino Linotype"/>
          <w:noProof/>
          <w:color w:val="000000"/>
          <w:kern w:val="0"/>
          <w:sz w:val="20"/>
          <w:szCs w:val="20"/>
          <w:lang w:eastAsia="de-DE" w:bidi="en-US"/>
        </w:rPr>
        <w:lastRenderedPageBreak/>
        <w:drawing>
          <wp:inline distT="0" distB="0" distL="0" distR="0" wp14:anchorId="3069F0DE" wp14:editId="2CA7AD64">
            <wp:extent cx="5278120" cy="469900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ementary Fig. 2.tif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359"/>
                    <a:stretch/>
                  </pic:blipFill>
                  <pic:spPr bwMode="auto">
                    <a:xfrm>
                      <a:off x="0" y="0"/>
                      <a:ext cx="5278120" cy="4699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98E827" w14:textId="73739C1C" w:rsidR="00F13AFA" w:rsidRDefault="00F13AFA" w:rsidP="00F13AFA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 w:rsidRPr="00815FB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eastAsia="de-DE" w:bidi="en-US"/>
        </w:rPr>
        <w:t>Supplementary Fig.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 </w:t>
      </w:r>
      <w:r w:rsidRPr="00815FB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eastAsia="de-DE" w:bidi="en-US"/>
        </w:rPr>
        <w:t>2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. 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  <w:t>XLOC_015548 regulates cell proliferation and survival via the MEK/ERK signaling pathway.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(A) Experimental schematic. Cells were cultured in growth medium for 24 hours, transduced with lncRNA lentivirus to generate stable cell lines, and treated with the MEK/ERK inhibitor U0126 for 48 hours. Proliferation and survival assays were performed on differentiation days 0 and 7.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(B) Representative brightfield images,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EdU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staining (proliferation), and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Calcein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-AM/PI staining (viability) under different experimental conditions. Groups include KD-NC, KD-XLOC, OE-Ctrl, and OE-XLOC, with or without U0126.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EdU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-positive cells are labeled green, live cells with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Calcein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-AM are green, and dead cells with PI are red (scale bar = 100 µm).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(C) Quantification of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EdU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-positive cells (%). OE-XLOC significantly enhanced cell proliferation, while U0126 treatment reversed this effect (**p &lt; 0.01, ***p &lt; 0.001).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(D) Quantification of PI-positive cells (%). KD-XLOC increased cell death, while OE-XLOC reduced it. U0126 treatment reversed the protective effect of OE-XLOC (**p &lt; 0.01, ns = not significant).</w:t>
      </w:r>
    </w:p>
    <w:p w14:paraId="3538D0E4" w14:textId="5FB27D70" w:rsidR="00593AC1" w:rsidRDefault="00593AC1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5D831DE2" w14:textId="0A1E4C09" w:rsidR="00593AC1" w:rsidRDefault="00593AC1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47579C15" w14:textId="3A7B0577" w:rsidR="00593AC1" w:rsidRPr="00A36A1B" w:rsidRDefault="00593AC1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</w:pPr>
      <w:r>
        <w:rPr>
          <w:rFonts w:ascii="Palatino Linotype" w:eastAsia="Times New Roman" w:hAnsi="Palatino Linotype" w:cs="Palatino Linotype"/>
          <w:b/>
          <w:bCs/>
          <w:noProof/>
          <w:color w:val="000000"/>
          <w:kern w:val="0"/>
          <w:sz w:val="20"/>
          <w:szCs w:val="20"/>
          <w:lang w:eastAsia="de-DE" w:bidi="en-US"/>
        </w:rPr>
        <w:lastRenderedPageBreak/>
        <w:drawing>
          <wp:inline distT="0" distB="0" distL="0" distR="0" wp14:anchorId="12C4CD11" wp14:editId="78A058C9">
            <wp:extent cx="5278120" cy="318135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ementary Fig. 3.tif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8267"/>
                    <a:stretch/>
                  </pic:blipFill>
                  <pic:spPr bwMode="auto">
                    <a:xfrm>
                      <a:off x="0" y="0"/>
                      <a:ext cx="5278120" cy="3181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F0F02DA" w14:textId="79FB9547" w:rsidR="00F13AFA" w:rsidRDefault="00F13AFA" w:rsidP="00F13AFA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Supplementary Fig. 3. 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  <w:t>Effects of XLOC knockdown (KD) and overexpression (OE) on cell viability under U0126 treatment.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(A) live/dead staining images on day 7 of differentiation. Live cells (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Calcein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-AM) are green, and dead cells (PI) are red (scale bar = 100 µm).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(B) Quantification of PI-positive cells under differentiation medium conditions across experimental groups (n = 6).</w:t>
      </w:r>
    </w:p>
    <w:p w14:paraId="439ACB70" w14:textId="247B7143" w:rsidR="00593AC1" w:rsidRDefault="00593AC1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2EB4EE8F" w14:textId="6E30A7E8" w:rsidR="00593AC1" w:rsidRDefault="00593AC1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5BA665D1" w14:textId="20CFDC5C" w:rsidR="00593AC1" w:rsidRPr="00A36A1B" w:rsidRDefault="00593AC1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</w:pPr>
      <w:r>
        <w:rPr>
          <w:rFonts w:ascii="Palatino Linotype" w:eastAsia="Times New Roman" w:hAnsi="Palatino Linotype" w:cs="Palatino Linotype"/>
          <w:b/>
          <w:bCs/>
          <w:noProof/>
          <w:color w:val="000000"/>
          <w:kern w:val="0"/>
          <w:sz w:val="20"/>
          <w:szCs w:val="20"/>
          <w:lang w:eastAsia="de-DE" w:bidi="en-US"/>
        </w:rPr>
        <w:lastRenderedPageBreak/>
        <w:drawing>
          <wp:inline distT="0" distB="0" distL="0" distR="0" wp14:anchorId="0DD2B2A6" wp14:editId="4C3177DB">
            <wp:extent cx="5278120" cy="6130456"/>
            <wp:effectExtent l="0" t="0" r="0" b="38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Supplementary Fig. 4.tif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7871"/>
                    <a:stretch/>
                  </pic:blipFill>
                  <pic:spPr bwMode="auto">
                    <a:xfrm>
                      <a:off x="0" y="0"/>
                      <a:ext cx="5278120" cy="61304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3D26C6" w14:textId="4168539C" w:rsidR="005B2D89" w:rsidRDefault="00F13AFA" w:rsidP="005B2D89">
      <w:pPr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</w:pPr>
      <w:r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Supplementary Fig. </w:t>
      </w:r>
      <w:r w:rsidR="004D3BC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szCs w:val="24"/>
          <w:lang w:bidi="en-US"/>
        </w:rPr>
        <w:t>4</w:t>
      </w:r>
      <w:r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. </w:t>
      </w:r>
      <w:r w:rsidR="00822442"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>Effects of XLOC_015548 on Ki67 expression (Day 0 and Day 7</w:t>
      </w:r>
      <w:r w:rsidR="00D04C9D"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>).</w:t>
      </w:r>
      <w:r w:rsidR="00D04C9D" w:rsidRPr="005B2D89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</w:t>
      </w:r>
      <w:r w:rsidR="005B2D89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A</w:t>
      </w:r>
      <w:r w:rsidR="005B2D89" w:rsidRPr="005B2D89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, </w:t>
      </w:r>
      <w:r w:rsidR="005B2D89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</w:t>
      </w:r>
      <w:r w:rsidR="005B2D89" w:rsidRPr="005B2D89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) Representative immunofluores</w:t>
      </w:r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cence images of Ki67 (green), </w:t>
      </w:r>
      <w:proofErr w:type="spellStart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MyoD</w:t>
      </w:r>
      <w:proofErr w:type="spellEnd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 (red), F-actin (yellow), and nuclei (DAPI, blue) on Day 0 and Day 7 of differentiation. Scale bar = 100 </w:t>
      </w:r>
      <w:proofErr w:type="spellStart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μm</w:t>
      </w:r>
      <w:proofErr w:type="spellEnd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.</w:t>
      </w:r>
      <w:r w:rsidR="005B2D89" w:rsidRPr="00821755">
        <w:rPr>
          <w:rFonts w:ascii="Palatino Linotype" w:eastAsia="Times New Roman" w:hAnsi="Palatino Linotype" w:cs="Palatino Linotype" w:hint="eastAsia"/>
          <w:b/>
          <w:bCs/>
          <w:snapToGrid w:val="0"/>
          <w:color w:val="000000" w:themeColor="text1"/>
          <w:kern w:val="0"/>
          <w:sz w:val="20"/>
          <w:szCs w:val="20"/>
          <w:lang w:bidi="en-US"/>
        </w:rPr>
        <w:t xml:space="preserve"> </w:t>
      </w:r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(B, D) Quantitative analysis of the percentage of Ki67-positive nuclei, comparing cell proliferation levels across experimental groups. Data are presented as mean ± SD (n = 3). </w:t>
      </w:r>
    </w:p>
    <w:p w14:paraId="5A5C706C" w14:textId="2751B687" w:rsidR="00593AC1" w:rsidRDefault="00593AC1" w:rsidP="005B2D89">
      <w:pPr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</w:pPr>
    </w:p>
    <w:p w14:paraId="04D423FA" w14:textId="5974D382" w:rsidR="00593AC1" w:rsidRDefault="00593AC1" w:rsidP="005B2D89">
      <w:pPr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</w:pPr>
    </w:p>
    <w:p w14:paraId="71E30A13" w14:textId="48435CDA" w:rsidR="00593AC1" w:rsidRPr="00821755" w:rsidRDefault="00593AC1" w:rsidP="005B2D89">
      <w:pPr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</w:pPr>
      <w:r>
        <w:rPr>
          <w:rFonts w:ascii="Palatino Linotype" w:eastAsia="Times New Roman" w:hAnsi="Palatino Linotype" w:cs="Palatino Linotype"/>
          <w:b/>
          <w:bCs/>
          <w:noProof/>
          <w:color w:val="000000" w:themeColor="text1"/>
          <w:kern w:val="0"/>
          <w:sz w:val="22"/>
          <w:szCs w:val="24"/>
          <w:lang w:eastAsia="de-DE" w:bidi="en-US"/>
        </w:rPr>
        <w:lastRenderedPageBreak/>
        <w:drawing>
          <wp:inline distT="0" distB="0" distL="0" distR="0" wp14:anchorId="5B4DE5B8" wp14:editId="1BB1AD54">
            <wp:extent cx="5278120" cy="7464425"/>
            <wp:effectExtent l="0" t="0" r="0" b="317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Supplementary Fig. 5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162C9" w14:textId="0A533F78" w:rsidR="005B2D89" w:rsidRDefault="00F13AFA" w:rsidP="008A7B5C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 w:rsidRPr="00821755"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  <w:t xml:space="preserve">Supplementary Fig. </w:t>
      </w:r>
      <w:r w:rsidR="004D3BCC" w:rsidRPr="00821755">
        <w:rPr>
          <w:rFonts w:ascii="Palatino Linotype" w:eastAsia="Times New Roman" w:hAnsi="Palatino Linotype" w:cs="Palatino Linotype" w:hint="eastAsia"/>
          <w:b/>
          <w:bCs/>
          <w:snapToGrid w:val="0"/>
          <w:color w:val="000000" w:themeColor="text1"/>
          <w:kern w:val="0"/>
          <w:sz w:val="22"/>
          <w:szCs w:val="24"/>
          <w:lang w:bidi="en-US"/>
        </w:rPr>
        <w:t>5</w:t>
      </w:r>
      <w:r w:rsidRPr="00821755"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  <w:t xml:space="preserve">. </w:t>
      </w:r>
      <w:r w:rsidR="00286D67" w:rsidRPr="00821755"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  <w:t>Analysis of Gadd45g Distribution and p-ERK1/2 Localization During Myogenesis</w:t>
      </w:r>
      <w:r w:rsidR="00822442" w:rsidRPr="00821755"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  <w:t>.</w:t>
      </w:r>
      <w:r w:rsidR="00D04C9D" w:rsidRPr="00821755">
        <w:rPr>
          <w:rFonts w:ascii="Palatino Linotype" w:eastAsia="Times New Roman" w:hAnsi="Palatino Linotype" w:cs="Palatino Linotype"/>
          <w:b/>
          <w:bCs/>
          <w:snapToGrid w:val="0"/>
          <w:color w:val="000000" w:themeColor="text1"/>
          <w:kern w:val="0"/>
          <w:sz w:val="22"/>
          <w:szCs w:val="24"/>
          <w:lang w:eastAsia="de-DE" w:bidi="en-US"/>
        </w:rPr>
        <w:t xml:space="preserve"> </w:t>
      </w:r>
      <w:r w:rsidR="008A7B5C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(A) Nuclear-cytoplasmic fractionation analysis of control groups (OE-Ctrl, KD-NC, and </w:t>
      </w:r>
      <w:proofErr w:type="spellStart"/>
      <w:r w:rsidR="008A7B5C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untransfected</w:t>
      </w:r>
      <w:proofErr w:type="spellEnd"/>
      <w:r w:rsidR="008A7B5C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 cells) showing comparable total Gadd45g levels and subcellular distribution patterns.</w:t>
      </w:r>
      <w:r w:rsidR="008A7B5C" w:rsidRPr="00821755">
        <w:rPr>
          <w:rFonts w:ascii="Palatino Linotype" w:eastAsia="Times New Roman" w:hAnsi="Palatino Linotype" w:cs="Palatino Linotype" w:hint="eastAsia"/>
          <w:snapToGrid w:val="0"/>
          <w:color w:val="000000" w:themeColor="text1"/>
          <w:kern w:val="0"/>
          <w:sz w:val="20"/>
          <w:szCs w:val="20"/>
          <w:lang w:bidi="en-US"/>
        </w:rPr>
        <w:t xml:space="preserve"> </w:t>
      </w:r>
      <w:r w:rsidR="008A7B5C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(B) Representative Western blot and quantitative analysis show that knockdown (KD-XLOC) increased nuclear Gadd45g enrichment, while overexpression of XLOC_015548 (OE-XLOC) reduced nuclear Gadd45g enrichment.</w:t>
      </w:r>
      <w:r w:rsidR="008A7B5C" w:rsidRPr="00821755">
        <w:rPr>
          <w:rFonts w:ascii="Palatino Linotype" w:eastAsia="Times New Roman" w:hAnsi="Palatino Linotype" w:cs="Palatino Linotype" w:hint="eastAsia"/>
          <w:snapToGrid w:val="0"/>
          <w:color w:val="000000" w:themeColor="text1"/>
          <w:kern w:val="0"/>
          <w:sz w:val="20"/>
          <w:szCs w:val="20"/>
          <w:lang w:bidi="en-US"/>
        </w:rPr>
        <w:t xml:space="preserve"> </w:t>
      </w:r>
      <w:r w:rsidR="008A7B5C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(C) </w:t>
      </w:r>
      <w:r w:rsidR="008A7B5C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lastRenderedPageBreak/>
        <w:t xml:space="preserve">Quantitative analysis of Western blot results, with cytoplasmic protein normalized to β-Tubulin and nuclear protein normalized to Lamin B1. The nuclear-cytoplasmic ratio was calculated using the formula: nuclear Gadd45g (normalized to Lamin B1) / cytoplasmic Gadd45g (normalized to β-Tubulin). Data are presented as the mean ± SD (n = 3). Statistical analysis: One-way ANOVA with Tukey’s post hoc test (*p &lt; 0.05, ns = not significant). </w:t>
      </w:r>
      <w:r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(</w:t>
      </w:r>
      <w:r w:rsidR="008A7B5C" w:rsidRPr="00821755">
        <w:rPr>
          <w:rFonts w:ascii="Palatino Linotype" w:eastAsia="Times New Roman" w:hAnsi="Palatino Linotype" w:cs="Palatino Linotype" w:hint="eastAsia"/>
          <w:snapToGrid w:val="0"/>
          <w:color w:val="000000" w:themeColor="text1"/>
          <w:kern w:val="0"/>
          <w:sz w:val="20"/>
          <w:szCs w:val="20"/>
          <w:lang w:eastAsia="de-DE" w:bidi="en-US"/>
        </w:rPr>
        <w:t>D</w:t>
      </w:r>
      <w:r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) </w:t>
      </w:r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Representative immunofluorescence images showing the expression of Gadd45g (green), </w:t>
      </w:r>
      <w:proofErr w:type="spellStart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MyoD</w:t>
      </w:r>
      <w:proofErr w:type="spellEnd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 (red), F-actin (yellow), and nuclei (DAPI, blue) on Day 0 of differentiation. Groups include KD-NC, KD-XLOC, OE-Ctrl, and OE-XLOC, with or without U0126 treatment. Scale bar = 100 </w:t>
      </w:r>
      <w:proofErr w:type="spellStart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μm</w:t>
      </w:r>
      <w:proofErr w:type="spellEnd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. (</w:t>
      </w:r>
      <w:r w:rsidR="008A7B5C" w:rsidRPr="00821755">
        <w:rPr>
          <w:rFonts w:ascii="Palatino Linotype" w:eastAsia="Times New Roman" w:hAnsi="Palatino Linotype" w:cs="Palatino Linotype" w:hint="eastAsia"/>
          <w:snapToGrid w:val="0"/>
          <w:color w:val="000000" w:themeColor="text1"/>
          <w:kern w:val="0"/>
          <w:sz w:val="20"/>
          <w:szCs w:val="20"/>
          <w:lang w:bidi="en-US"/>
        </w:rPr>
        <w:t>E</w:t>
      </w:r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) Quantitative analysis of normalized Gadd45g fluorescence intensity across experimental groups. Data are presented as mean ± SD (n = 3). Statistical analysis was performed using one-way ANOVA followed by Tukey’s post hoc test (**p &lt; 0.01, ***p &lt; 0.001, ns = not significant). (</w:t>
      </w:r>
      <w:r w:rsidR="008A7B5C" w:rsidRPr="00821755">
        <w:rPr>
          <w:rFonts w:ascii="Palatino Linotype" w:eastAsia="Times New Roman" w:hAnsi="Palatino Linotype" w:cs="Palatino Linotype" w:hint="eastAsia"/>
          <w:snapToGrid w:val="0"/>
          <w:color w:val="000000" w:themeColor="text1"/>
          <w:kern w:val="0"/>
          <w:sz w:val="20"/>
          <w:szCs w:val="20"/>
          <w:lang w:bidi="en-US"/>
        </w:rPr>
        <w:t>F</w:t>
      </w:r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) Representative immunofluorescence images showing p-ERK1/2 (green), </w:t>
      </w:r>
      <w:proofErr w:type="spellStart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MyoD</w:t>
      </w:r>
      <w:proofErr w:type="spellEnd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 xml:space="preserve"> (red), F-actin (yellow), and nuclei (DAPI, blue) on Day 0 and Day 7 of differentiation. White arrows indicate p-ERK1/2-positive nuclei colocalized with </w:t>
      </w:r>
      <w:proofErr w:type="spellStart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MyoD</w:t>
      </w:r>
      <w:proofErr w:type="spellEnd"/>
      <w:r w:rsidR="005B2D89" w:rsidRPr="00821755">
        <w:rPr>
          <w:rFonts w:ascii="Palatino Linotype" w:eastAsia="Times New Roman" w:hAnsi="Palatino Linotype" w:cs="Palatino Linotype"/>
          <w:snapToGrid w:val="0"/>
          <w:color w:val="000000" w:themeColor="text1"/>
          <w:kern w:val="0"/>
          <w:sz w:val="20"/>
          <w:szCs w:val="20"/>
          <w:lang w:eastAsia="de-DE" w:bidi="en-US"/>
        </w:rPr>
        <w:t>, representing incompletely differentiated cells.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Scale bar = 100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  <w:r w:rsidR="005B2D89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</w:t>
      </w:r>
      <w:r w:rsidR="008A7B5C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>G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) Colocalization analysis of P-ERK1/2 (green) and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MyoD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signals on Day 7 of differentiation. Colocalization Pearson correlation coefficients were calculated from three gated regions and presented in scatter plots. Red, green, and blue signals in colocalization scatter plots correspond to </w:t>
      </w:r>
      <w:proofErr w:type="spellStart"/>
      <w:r w:rsidR="008A7B5C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>F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three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gated regions. p-ERK nuclear-localized undifferentiated cells were observed around mature myotubes, while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MyoD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translocates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from the nucleus to the cytoplasm during differentiation. Colocalization analysis indicates that p-ERK and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MyoD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colocalized cells may represent incompletely differentiated cells, which are potentially cleared via the apoptotic pathway. Quantitative analysis of the proportion of p-ERK1/2-positive nuclei across experimental conditions (KD-NC, KD-XLOC, and other treatments). Data are presented as mean ± SD (n = 3). Statistical analysis was performed using one-way ANOVA followed by Tukey’s post hoc test (***p &lt; 0.001, **p &lt; 0.01, ns = not significant). Statistical analysis was performed using one-way ANOVA followed by Tukey’s post hoc test (***p &lt; 0.001, **p &lt; 0.01, *p &lt; 0.05, ns = not significant).</w:t>
      </w:r>
    </w:p>
    <w:p w14:paraId="36B68ACD" w14:textId="13F7BAC2" w:rsidR="00593AC1" w:rsidRDefault="00593AC1" w:rsidP="008A7B5C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21C4679D" w14:textId="06C7C24A" w:rsidR="00593AC1" w:rsidRDefault="00593AC1" w:rsidP="008A7B5C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</w:p>
    <w:p w14:paraId="3875329A" w14:textId="72D31D05" w:rsidR="00593AC1" w:rsidRPr="008A7B5C" w:rsidRDefault="00593AC1" w:rsidP="008A7B5C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>
        <w:rPr>
          <w:rFonts w:ascii="Palatino Linotype" w:eastAsia="Times New Roman" w:hAnsi="Palatino Linotype" w:cs="Palatino Linotype"/>
          <w:noProof/>
          <w:color w:val="000000"/>
          <w:kern w:val="0"/>
          <w:sz w:val="20"/>
          <w:szCs w:val="20"/>
          <w:lang w:eastAsia="de-DE" w:bidi="en-US"/>
        </w:rPr>
        <w:lastRenderedPageBreak/>
        <w:drawing>
          <wp:inline distT="0" distB="0" distL="0" distR="0" wp14:anchorId="280D3158" wp14:editId="16D88D0F">
            <wp:extent cx="5278120" cy="76231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Supplementary Fig. 6.TIF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62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C6BE4" w14:textId="0CA8446E" w:rsidR="005B2D89" w:rsidRDefault="00F13AFA" w:rsidP="005B2D89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Supplementary Fig. </w:t>
      </w:r>
      <w:r w:rsidR="004D3BC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szCs w:val="24"/>
          <w:lang w:bidi="en-US"/>
        </w:rPr>
        <w:t>6</w:t>
      </w:r>
      <w:r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>.</w:t>
      </w:r>
      <w:r w:rsidR="00822442"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 </w:t>
      </w:r>
      <w:r w:rsidR="004D3BCC" w:rsidRPr="004D3BC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>Histopathological evaluation of major organs in gene-edited mice under sham and denervation conditions.</w:t>
      </w:r>
      <w:r w:rsidR="00FF4A10" w:rsidRPr="00FF4A10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</w:t>
      </w:r>
      <w:r w:rsidR="00FF4A10" w:rsidRPr="004D3BC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</w:t>
      </w:r>
      <w:r w:rsidR="00FF4A10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>A</w:t>
      </w:r>
      <w:r w:rsidR="00FF4A10" w:rsidRPr="004D3BC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)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H&amp;E staining of lung, liver, spleen, kidney, and heart tissues from XLOC_015548fl/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fl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;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Cre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⁻ (control) and XLOC_015548fl/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fl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;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Cre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⁺ (conditional knockout) mice under sham or sciatic nerve transection c</w:t>
      </w:r>
      <w:r w:rsidR="005B2D89" w:rsidRPr="00815FBC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>o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nditions. Results indicate that conditional knockout of XLOC_015548 does not induce systemic toxicity or 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lastRenderedPageBreak/>
        <w:t>structural abnormalities in major organs, supporting its safety</w:t>
      </w:r>
      <w:r w:rsidR="004D3BCC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>.</w:t>
      </w:r>
      <w:r w:rsidR="004D3BCC" w:rsidRPr="004D3BCC">
        <w:t xml:space="preserve"> </w:t>
      </w:r>
      <w:r w:rsidR="004D3BCC" w:rsidRPr="004D3BC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(B) XLOC_015548cKI/+; </w:t>
      </w:r>
      <w:proofErr w:type="spellStart"/>
      <w:r w:rsidR="004D3BCC" w:rsidRPr="004D3BC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iCre</w:t>
      </w:r>
      <w:proofErr w:type="spellEnd"/>
      <w:r w:rsidR="004D3BCC" w:rsidRPr="004D3BC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⁻ and XLOC_015548cKI/+; </w:t>
      </w:r>
      <w:proofErr w:type="spellStart"/>
      <w:r w:rsidR="004D3BCC" w:rsidRPr="004D3BC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iCre</w:t>
      </w:r>
      <w:proofErr w:type="spellEnd"/>
      <w:r w:rsidR="004D3BCC" w:rsidRPr="004D3BC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⁺ mice exhibited consistent results.</w:t>
      </w:r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Scale bar = 50 </w:t>
      </w:r>
      <w:proofErr w:type="spellStart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="005B2D89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</w:p>
    <w:p w14:paraId="2E55EA7B" w14:textId="31114534" w:rsidR="00593AC1" w:rsidRDefault="00593AC1" w:rsidP="005B2D89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</w:pPr>
    </w:p>
    <w:p w14:paraId="7E98B188" w14:textId="42DF9FD9" w:rsidR="00593AC1" w:rsidRDefault="00593AC1" w:rsidP="005B2D89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</w:pPr>
    </w:p>
    <w:p w14:paraId="180421F9" w14:textId="725CA07B" w:rsidR="00593AC1" w:rsidRPr="00822442" w:rsidRDefault="00593AC1" w:rsidP="005B2D89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</w:pPr>
      <w:r>
        <w:rPr>
          <w:rFonts w:ascii="Palatino Linotype" w:eastAsia="Times New Roman" w:hAnsi="Palatino Linotype" w:cs="Palatino Linotype"/>
          <w:b/>
          <w:bCs/>
          <w:noProof/>
          <w:color w:val="000000"/>
          <w:kern w:val="0"/>
          <w:sz w:val="22"/>
          <w:szCs w:val="24"/>
          <w:lang w:eastAsia="de-DE" w:bidi="en-US"/>
        </w:rPr>
        <w:drawing>
          <wp:inline distT="0" distB="0" distL="0" distR="0" wp14:anchorId="668584D8" wp14:editId="4BD7CCC1">
            <wp:extent cx="5278120" cy="762317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upplementary Fig. 7.tif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62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9DC301" w14:textId="30D6DFC8" w:rsidR="00E50E27" w:rsidRDefault="005B2D89" w:rsidP="00E50E27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Supplementary Fig. </w:t>
      </w:r>
      <w:r w:rsidR="004D3BC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szCs w:val="24"/>
          <w:lang w:bidi="en-US"/>
        </w:rPr>
        <w:t>7</w:t>
      </w:r>
      <w:r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>.</w:t>
      </w:r>
      <w:r w:rsidR="00822442"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 Protective effects of XLOC_015548 on muscle mass, oxidative </w:t>
      </w:r>
      <w:r w:rsidR="00822442" w:rsidRPr="00822442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lastRenderedPageBreak/>
        <w:t>stress, and myogenic markers under denervation-induced atrophy.</w:t>
      </w:r>
      <w:r w:rsidR="00D04C9D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szCs w:val="24"/>
          <w:lang w:eastAsia="de-DE"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(A) Representative images of gastrocnemius muscles from XLOC_015548fl/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fl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;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Cre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⁻ and XLOC_015548fl/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fl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; Cre⁺ mice under sham and denervation conditions.</w:t>
      </w:r>
      <w:r w:rsidR="00F13AFA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(B) H&amp;E staining shows the morphology and cross-sectional area (CSA) of gastrocnemius muscle fibers in XLOC_015548fl/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fl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;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Cre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⁻ and XLOC_015548fl/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fl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; Cre⁺ mice under sham and denervation conditions. Scale bar = 50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  <w:r w:rsidR="00F13AFA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(C) Representative DHE staining images illustrating oxidative stress signals in gastrocnemius muscles under different experimental conditions. Scale bar = 50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  <w:r w:rsidR="00F13AFA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(D) Quantitative analysis of muscle mass, mean CSA, and DHE fluorescence intensity under sham and denervation conditions. Data are presented as mean ± SD (n = 3).</w:t>
      </w:r>
      <w:r w:rsidR="00F13AFA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(E) Immunohistochemistry (IHC) showing the expression of ERK, MEK,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MyoD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, p-MEK1/2, p-ERK1/2, and Gadd45g in gastrocnemius muscles of Cre⁻ and Cre⁺ mice under sham and denervation conditions. Scale bar = 50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  <w:r w:rsidR="00F13AFA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(F) Co-localization analysis of p-ERK1/2 DAB-positive signals with hematoxylin-stained nuclei in IHC sections. Pearson correlation coefficients are shown in </w:t>
      </w:r>
      <w:r w:rsidR="008F696B" w:rsidRPr="008F696B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colocalization plots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. H refers to hematoxylin, which stains cell nuclei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blue.DAB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refers to 3,3′-diaminobenzidine, which stains positive protein expression as a brown signal in IHC.</w:t>
      </w:r>
      <w:r w:rsidR="00F13AFA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(G) Quantitative analysis of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MyoD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, p-ERK/ERK, p-MEK/ERK, and Gadd45g protein expression based on IHC results, normalized to the corresponding control group (XLOC_015548fl/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fl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; </w:t>
      </w:r>
      <w:proofErr w:type="spellStart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Cre</w:t>
      </w:r>
      <w:proofErr w:type="spellEnd"/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⁻).</w:t>
      </w:r>
      <w:r w:rsidR="00F13AFA" w:rsidRPr="00815FBC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eastAsia="de-DE" w:bidi="en-US"/>
        </w:rPr>
        <w:t xml:space="preserve"> </w:t>
      </w:r>
      <w:r w:rsidR="00F13AFA"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Statistical analysis was performed using Multiple unpaired t-tests with Two-stage step-up correction. Data are presented as mean ± SD (n = 3). Significant differences are denoted as *q &lt; 0.05, while non-significant differences are labeled as “ns”.</w:t>
      </w:r>
    </w:p>
    <w:p w14:paraId="3E53C310" w14:textId="2E6F1AA0" w:rsidR="00593AC1" w:rsidRDefault="00593AC1" w:rsidP="00E50E27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2"/>
          <w:szCs w:val="24"/>
          <w:lang w:bidi="en-US"/>
        </w:rPr>
      </w:pPr>
    </w:p>
    <w:p w14:paraId="775D2F7C" w14:textId="4CF38D33" w:rsidR="00593AC1" w:rsidRDefault="00593AC1" w:rsidP="00E50E27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2"/>
          <w:szCs w:val="24"/>
          <w:lang w:bidi="en-US"/>
        </w:rPr>
      </w:pPr>
    </w:p>
    <w:p w14:paraId="367CBFC2" w14:textId="7B8EEE11" w:rsidR="00593AC1" w:rsidRPr="00593AC1" w:rsidRDefault="00593AC1" w:rsidP="00E50E27">
      <w:pPr>
        <w:rPr>
          <w:rFonts w:ascii="Palatino Linotype" w:hAnsi="Palatino Linotype" w:cs="Palatino Linotype" w:hint="eastAsia"/>
          <w:b/>
          <w:bCs/>
          <w:snapToGrid w:val="0"/>
          <w:color w:val="000000"/>
          <w:kern w:val="0"/>
          <w:sz w:val="22"/>
          <w:szCs w:val="24"/>
          <w:lang w:bidi="en-US"/>
        </w:rPr>
      </w:pPr>
      <w:r>
        <w:rPr>
          <w:rFonts w:ascii="Palatino Linotype" w:hAnsi="Palatino Linotype" w:cs="Palatino Linotype" w:hint="eastAsia"/>
          <w:b/>
          <w:bCs/>
          <w:noProof/>
          <w:color w:val="000000"/>
          <w:kern w:val="0"/>
          <w:sz w:val="22"/>
          <w:szCs w:val="24"/>
          <w:lang w:bidi="en-US"/>
        </w:rPr>
        <w:lastRenderedPageBreak/>
        <w:drawing>
          <wp:inline distT="0" distB="0" distL="0" distR="0" wp14:anchorId="51BB5738" wp14:editId="4FFEC315">
            <wp:extent cx="5278120" cy="6376946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Supplementary Fig. 8.tif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569"/>
                    <a:stretch/>
                  </pic:blipFill>
                  <pic:spPr bwMode="auto">
                    <a:xfrm>
                      <a:off x="0" y="0"/>
                      <a:ext cx="5278120" cy="63769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8EB17B" w14:textId="597DD4BA" w:rsidR="00F13AFA" w:rsidRDefault="00F13AFA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Supplementary Fig. </w:t>
      </w:r>
      <w:r w:rsidR="004D3BC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bidi="en-US"/>
        </w:rPr>
        <w:t>8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. </w:t>
      </w:r>
      <w:r w:rsidR="00FF4A10" w:rsidRPr="00FF4A10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  <w:t xml:space="preserve">Gadd45g Promotes Myogenesis and Myotube Formation via MEK/ERK Pathway Activation </w:t>
      </w:r>
      <w:r w:rsidR="0069069B" w:rsidRPr="0069069B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(A) Western blot analysis of key protein expression levels under conditions with and without DEX-induced modeling.</w:t>
      </w:r>
      <w:r w:rsidR="0069069B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="0069069B" w:rsidRPr="0069069B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(B) Quantitative analysis of Western blot results, normalized to β-tubulin (n = 3). Statistical data are presented as mean ± SD. Statistical analysis: One-way ANOVA with Tukey’s post hoc test (***p &lt; 0.001, *p &lt; 0.01, p &lt; 0.05, ns = not significant).</w:t>
      </w:r>
      <w:r w:rsidR="0069069B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</w:t>
      </w:r>
      <w:r w:rsidR="0069069B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eastAsia="de-DE" w:bidi="en-US"/>
        </w:rPr>
        <w:t>C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) Representative bright-field images of myotubes on Day 0 (DM 0d) and Day 7 (DM 7d) under OE-Gadd45g and OE-Ctrl conditions. Myotubes in the OE-Gadd45g group show increased width on Day 7, while U0126 treatment reverses this effect. Scale bar = 100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  <w:r w:rsidRPr="0069069B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eastAsia="de-DE"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</w:t>
      </w:r>
      <w:r w:rsidR="0069069B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eastAsia="de-DE" w:bidi="en-US"/>
        </w:rPr>
        <w:t>D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) </w:t>
      </w:r>
      <w:r w:rsidR="004B69F5" w:rsidRPr="004B69F5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Quantitative analysis of myotube width shows an increase in the OE-Gadd45g group, while U0126 treatment significantly reduces myotube width.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</w:t>
      </w:r>
      <w:r w:rsidR="0069069B">
        <w:rPr>
          <w:rFonts w:ascii="Palatino Linotype" w:eastAsia="Times New Roman" w:hAnsi="Palatino Linotype" w:cs="Palatino Linotype" w:hint="eastAsia"/>
          <w:snapToGrid w:val="0"/>
          <w:color w:val="000000"/>
          <w:kern w:val="0"/>
          <w:sz w:val="20"/>
          <w:szCs w:val="20"/>
          <w:lang w:bidi="en-US"/>
        </w:rPr>
        <w:t>E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) Mechanism diagram summarizing Gadd45g’s role in promoting myogenesis and myotube functionality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lastRenderedPageBreak/>
        <w:t>through MEK/ERK pathway activation and p-ERK1/2 nuclear signaling.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</w:p>
    <w:p w14:paraId="4B56BBB0" w14:textId="596B19CA" w:rsidR="00593AC1" w:rsidRDefault="00593AC1" w:rsidP="00F13AFA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</w:p>
    <w:p w14:paraId="7CC945D4" w14:textId="5088C1FD" w:rsidR="00593AC1" w:rsidRDefault="00593AC1" w:rsidP="00F13AFA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</w:p>
    <w:p w14:paraId="2986D703" w14:textId="2C620719" w:rsidR="00593AC1" w:rsidRPr="00593AC1" w:rsidRDefault="00593AC1" w:rsidP="00F13AFA">
      <w:pPr>
        <w:rPr>
          <w:rFonts w:ascii="Palatino Linotype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</w:pPr>
      <w:r>
        <w:rPr>
          <w:rFonts w:ascii="Palatino Linotype" w:hAnsi="Palatino Linotype" w:cs="Palatino Linotype" w:hint="eastAsia"/>
          <w:b/>
          <w:bCs/>
          <w:noProof/>
          <w:color w:val="000000"/>
          <w:kern w:val="0"/>
          <w:sz w:val="20"/>
          <w:szCs w:val="20"/>
          <w:lang w:bidi="en-US"/>
        </w:rPr>
        <w:drawing>
          <wp:inline distT="0" distB="0" distL="0" distR="0" wp14:anchorId="16E4E4FE" wp14:editId="5DDAC26F">
            <wp:extent cx="5278120" cy="6909683"/>
            <wp:effectExtent l="0" t="0" r="0" b="571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Supplementary Fig. 9.TIF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360"/>
                    <a:stretch/>
                  </pic:blipFill>
                  <pic:spPr bwMode="auto">
                    <a:xfrm>
                      <a:off x="0" y="0"/>
                      <a:ext cx="5278120" cy="69096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3B8E68" w14:textId="56FB5124" w:rsidR="00F13AFA" w:rsidRDefault="00F13AFA" w:rsidP="00F13AFA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Supplementary Fig. </w:t>
      </w:r>
      <w:r w:rsidR="004D3BC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bidi="en-US"/>
        </w:rPr>
        <w:t>9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. 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  <w:t>XLOC_015548 alleviates DEX-induced cell damage by improving cell viability and proliferation.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(A) Experimental design showing OE-XLOC and control C2C12 stable cell lines treated with or without dexamethasone (DEX) and MEK inhibitor U0126.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(B) Representative fluorescence images for cell viability (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Calcein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-AM/PI staining) and proliferation (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EdU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staining).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Calcein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-AM-positive cells (green) represent viable cells, PI-positive cells (red) represent dead cells, and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EdU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-positive cells (green) represent proliferating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lastRenderedPageBreak/>
        <w:t xml:space="preserve">cells. Nuclei are stained with DAPI (blue). Scale bar = 100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(C) Quantitative analysis of PI-positive cells shows that DEX significantly increases cell death, while OE-XLOC reduces this proportion. U0126 treatment partially reverses the protective effect of OE-XLOC.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(D) Quantitative analysis of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EdU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-positive cells shows that DEX significantly decreases cell proliferation, while OE-XLOC restores it. U0126 inhibits the pro-proliferative effect of OE-XLOC.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Data are presented as mean ± SD (n = 3). Statistical analysis was performed using one-way ANOVA followed by Tukey’s post hoc test (***p &lt; 0.001, **p &lt; 0.01, *p &lt; 0.05, ns = not significant). Scale bar = 100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</w:p>
    <w:p w14:paraId="0264A840" w14:textId="6A974E61" w:rsidR="00593AC1" w:rsidRDefault="00593AC1" w:rsidP="00F13AFA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</w:p>
    <w:p w14:paraId="49A6C2BF" w14:textId="1D89EC43" w:rsidR="00593AC1" w:rsidRDefault="00593AC1" w:rsidP="00F13AFA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</w:p>
    <w:p w14:paraId="4F3975C5" w14:textId="131312B1" w:rsidR="00593AC1" w:rsidRPr="00593AC1" w:rsidRDefault="00593AC1" w:rsidP="00F13AFA">
      <w:pPr>
        <w:rPr>
          <w:rFonts w:ascii="Palatino Linotype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</w:pPr>
      <w:r>
        <w:rPr>
          <w:rFonts w:ascii="Palatino Linotype" w:hAnsi="Palatino Linotype" w:cs="Palatino Linotype" w:hint="eastAsia"/>
          <w:b/>
          <w:bCs/>
          <w:noProof/>
          <w:color w:val="000000"/>
          <w:kern w:val="0"/>
          <w:sz w:val="20"/>
          <w:szCs w:val="20"/>
          <w:lang w:bidi="en-US"/>
        </w:rPr>
        <w:lastRenderedPageBreak/>
        <w:drawing>
          <wp:inline distT="0" distB="0" distL="0" distR="0" wp14:anchorId="5DC0C0A1" wp14:editId="2775DFAB">
            <wp:extent cx="5278120" cy="7464425"/>
            <wp:effectExtent l="0" t="0" r="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Supplementary Fig. 10.tif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8120" cy="746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9957A" w14:textId="70125E29" w:rsidR="00F13AFA" w:rsidRDefault="00F13AFA" w:rsidP="00F13AFA">
      <w:pPr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</w:pP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Supplementary Fig. </w:t>
      </w:r>
      <w:r w:rsidRPr="00815FB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bidi="en-US"/>
        </w:rPr>
        <w:t>1</w:t>
      </w:r>
      <w:r w:rsidR="004D3BC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bidi="en-US"/>
        </w:rPr>
        <w:t>0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. 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  <w:t>XLOC promotes myogenic differentiation and reverses DEX-induced myogenesis inhibition by regulating Gadd45g expression and suppressing apoptosis.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(A) Schematic diagram of the experimental design for differentiation and apoptosis analysis under OE-XLOC and control conditions, with or without DEX and MEK inhibitor U0126. Apoptosis was analyzed using TUNEL staining on Days 3 and 7 of differentiation.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(B) Representative multicolor fluorescence images on Days 3 and 7 of differentiation. DAPI (blue)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lastRenderedPageBreak/>
        <w:t xml:space="preserve">marks nuclei, TUNEL (yellow) marks apoptotic cells,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MyHC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marks late-stage myogenic differentiation markers, and Gadd45g (green) indicates its expression. Scale bar = 50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. OE-XLOC significantly reduces TUNEL-positive cells, restores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MyHC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expression, and enhances myotube formation on Day 7, while U0126 partially reverses these protective effects.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(C) Quantitative analysis of TUNEL-positive cells in Gadd45g (green) and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MyHC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multicolor IF staining shows that DEX significantly increases apoptosis on Day 7, whereas OE-XLOC markedly decreases TUNEL-positive cells.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(D) Quantitative analysis of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MyHC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-positive nuclei in Gadd45g (green) and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MyHC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multicolor IF staining shows that DEX reduces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MyHC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-positive nuclei and inhibits myotube formation, while OE-XLOC restores myotube formation; U0126 treatment partially diminishes this effect.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(E) Representative multicolor fluorescence images on Days 3 and 7 of differentiation. DAPI (blue) marks nuclei, TUNEL (red) marks apoptotic cells,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Myog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marks mid-stage myogenic differentiation markers, and Gadd45g (green) indicates its expression. Scale bar = 50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(F) Quantitative analysis of TUNEL-positive cells in Gadd45g (green) and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Myog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multicolor IF staining shows that DEX significantly increases apoptosis on Day 7, while OE-XLOC reduces TUNEL-positive cells. U0126 treatment partially reverses this effect.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(G) Quantitative analysis of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Myog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-positive nuclei in Gadd45g (green) and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Myog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multicolor IF staining shows that OE-XLOC enhances multinucleated myotube fusion, whereas U0126 significantly reduces this effect.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(H) Standardized quantitative analysis of Gadd45g fluorescence intensity in Gadd45g (green) and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Myog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 (red) multicolor IF staining shows that OE-XLOC significantly decreases Gadd45g expression, improving the differentiation environment.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Data are presented as mean ± SD (n = 3). Statistical analysis was performed using one-way ANOVA with Tukey’s post hoc test (***p &lt; 0.001, **p &lt; 0.01, *p &lt; 0.05, ns = not significant). Scale bar = 50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</w:p>
    <w:p w14:paraId="0BB35032" w14:textId="79184708" w:rsidR="00593AC1" w:rsidRDefault="00593AC1" w:rsidP="00F13AFA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</w:p>
    <w:p w14:paraId="3369F8F1" w14:textId="037FF2EC" w:rsidR="00593AC1" w:rsidRDefault="00593AC1" w:rsidP="00F13AFA">
      <w:pPr>
        <w:rPr>
          <w:rFonts w:ascii="Palatino Linotype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</w:p>
    <w:p w14:paraId="5E96F224" w14:textId="50E91FFC" w:rsidR="00593AC1" w:rsidRPr="00593AC1" w:rsidRDefault="00593AC1" w:rsidP="00F13AFA">
      <w:pPr>
        <w:rPr>
          <w:rFonts w:ascii="Palatino Linotype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</w:pPr>
      <w:r>
        <w:rPr>
          <w:rFonts w:ascii="Palatino Linotype" w:hAnsi="Palatino Linotype" w:cs="Palatino Linotype" w:hint="eastAsia"/>
          <w:b/>
          <w:bCs/>
          <w:noProof/>
          <w:color w:val="000000"/>
          <w:kern w:val="0"/>
          <w:sz w:val="20"/>
          <w:szCs w:val="20"/>
          <w:lang w:bidi="en-US"/>
        </w:rPr>
        <w:drawing>
          <wp:inline distT="0" distB="0" distL="0" distR="0" wp14:anchorId="29D26B1F" wp14:editId="34FFB5AB">
            <wp:extent cx="5277459" cy="2258170"/>
            <wp:effectExtent l="0" t="0" r="0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upplementary Fig. 11.TIF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0373"/>
                    <a:stretch/>
                  </pic:blipFill>
                  <pic:spPr bwMode="auto">
                    <a:xfrm>
                      <a:off x="0" y="0"/>
                      <a:ext cx="5278120" cy="22584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4813F4" w14:textId="16C28737" w:rsidR="00F13AFA" w:rsidRPr="00A36A1B" w:rsidRDefault="00F13AFA" w:rsidP="00F13AFA">
      <w:pPr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bidi="en-US"/>
        </w:rPr>
      </w:pP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Supplementary Fig. </w:t>
      </w:r>
      <w:r w:rsidRPr="00815FB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bidi="en-US"/>
        </w:rPr>
        <w:t>1</w:t>
      </w:r>
      <w:r w:rsidR="004D3BCC"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2"/>
          <w:lang w:bidi="en-US"/>
        </w:rPr>
        <w:t>1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2"/>
          <w:lang w:eastAsia="de-DE" w:bidi="en-US"/>
        </w:rPr>
        <w:t xml:space="preserve">. </w:t>
      </w:r>
      <w:r w:rsidRPr="00815FBC">
        <w:rPr>
          <w:rFonts w:ascii="Palatino Linotype" w:eastAsia="Times New Roman" w:hAnsi="Palatino Linotype" w:cs="Palatino Linotype"/>
          <w:b/>
          <w:bCs/>
          <w:snapToGrid w:val="0"/>
          <w:color w:val="000000"/>
          <w:kern w:val="0"/>
          <w:sz w:val="20"/>
          <w:szCs w:val="20"/>
          <w:lang w:eastAsia="de-DE" w:bidi="en-US"/>
        </w:rPr>
        <w:t>Effects of XLOC overexpression on PI-positive cell proportions under DEX-induced stress.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(A) Quantification of PI-positive C2C12 myoblasts on Day 0 of differentiation under various treatment conditions. DEX treatment significantly increased the proportion of PI-positive cells, indicating elevated cell death. OE-XLOC significantly reduced the proportion of PI-positive cells under DEX treatment, while U0126 partially reversed this protective effect.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(B) Changes in the number of PI-positive cells under various conditions on Days 3 and 7 of differentiation. DEX treatment increased the number of PI-positive cells at both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lastRenderedPageBreak/>
        <w:t>time points, indicating sustained cell death. OE-XLOC effectively reduced DEX-induced increases in PI-positive cells, while U0126 treatment notably weakened the protective effect of OE-XLOC, particularly on Day 7.</w:t>
      </w:r>
      <w:r>
        <w:rPr>
          <w:rFonts w:ascii="Palatino Linotype" w:eastAsia="Times New Roman" w:hAnsi="Palatino Linotype" w:cs="Palatino Linotype" w:hint="eastAsia"/>
          <w:b/>
          <w:bCs/>
          <w:snapToGrid w:val="0"/>
          <w:color w:val="000000"/>
          <w:kern w:val="0"/>
          <w:sz w:val="20"/>
          <w:szCs w:val="20"/>
          <w:lang w:bidi="en-US"/>
        </w:rPr>
        <w:t xml:space="preserve"> </w:t>
      </w:r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 xml:space="preserve">Statistical analysis was performed using one-way ANOVA with Tukey’s post hoc test (***p &lt; 0.001, **p &lt; 0.01, *p &lt; 0.05, ns = not significant). Scale bar = 50 </w:t>
      </w:r>
      <w:proofErr w:type="spellStart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μm</w:t>
      </w:r>
      <w:proofErr w:type="spellEnd"/>
      <w:r w:rsidRPr="00815FBC">
        <w:rPr>
          <w:rFonts w:ascii="Palatino Linotype" w:eastAsia="Times New Roman" w:hAnsi="Palatino Linotype" w:cs="Palatino Linotype"/>
          <w:snapToGrid w:val="0"/>
          <w:color w:val="000000"/>
          <w:kern w:val="0"/>
          <w:sz w:val="20"/>
          <w:szCs w:val="20"/>
          <w:lang w:eastAsia="de-DE" w:bidi="en-US"/>
        </w:rPr>
        <w:t>.</w:t>
      </w:r>
    </w:p>
    <w:p w14:paraId="6A73E718" w14:textId="6DE9A240" w:rsidR="00D66861" w:rsidRPr="004D3BCC" w:rsidRDefault="00D66861">
      <w:pPr>
        <w:rPr>
          <w:rFonts w:ascii="宋体" w:eastAsia="宋体" w:hAnsi="宋体" w:cs="宋体"/>
          <w:b/>
          <w:bCs/>
          <w:snapToGrid w:val="0"/>
          <w:color w:val="000000"/>
          <w:kern w:val="0"/>
          <w:sz w:val="20"/>
          <w:szCs w:val="20"/>
          <w:lang w:bidi="en-US"/>
        </w:rPr>
      </w:pPr>
    </w:p>
    <w:sectPr w:rsidR="00D66861" w:rsidRPr="004D3BCC" w:rsidSect="00F13AFA">
      <w:footerReference w:type="default" r:id="rId18"/>
      <w:pgSz w:w="11906" w:h="16838"/>
      <w:pgMar w:top="1440" w:right="1797" w:bottom="1440" w:left="1797" w:header="851" w:footer="992" w:gutter="0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CAD2BA2" w14:textId="77777777" w:rsidR="005F2770" w:rsidRDefault="005F2770">
      <w:r>
        <w:separator/>
      </w:r>
    </w:p>
  </w:endnote>
  <w:endnote w:type="continuationSeparator" w:id="0">
    <w:p w14:paraId="7898E352" w14:textId="77777777" w:rsidR="005F2770" w:rsidRDefault="005F27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C2AFA5" w14:textId="77777777" w:rsidR="000320E6" w:rsidRDefault="00593AC1">
    <w:pPr>
      <w:pStyle w:val="af"/>
      <w:jc w:val="center"/>
    </w:pPr>
    <w:r>
      <w:rPr>
        <w:lang w:val="zh-CN"/>
      </w:rPr>
      <w:t xml:space="preserve"> </w:t>
    </w:r>
    <w:r>
      <w:fldChar w:fldCharType="begin"/>
    </w:r>
    <w:r>
      <w:instrText>PAGE  \* Arabic  \* MERGEFORMAT</w:instrText>
    </w:r>
    <w:r>
      <w:fldChar w:fldCharType="separate"/>
    </w:r>
    <w:r>
      <w:rPr>
        <w:lang w:val="zh-CN"/>
      </w:rPr>
      <w:t>2</w:t>
    </w:r>
    <w:r>
      <w:fldChar w:fldCharType="end"/>
    </w:r>
    <w:r>
      <w:rPr>
        <w:lang w:val="zh-CN"/>
      </w:rPr>
      <w:t xml:space="preserve"> / </w:t>
    </w:r>
    <w:r>
      <w:fldChar w:fldCharType="begin"/>
    </w:r>
    <w:r>
      <w:instrText>NUMPAGES  \* Arabic  \* MERGEFORMAT</w:instrText>
    </w:r>
    <w:r>
      <w:fldChar w:fldCharType="separate"/>
    </w:r>
    <w:r w:rsidR="000320E6">
      <w:rPr>
        <w:lang w:val="zh-CN"/>
      </w:rPr>
      <w:t>2</w:t>
    </w:r>
    <w:r>
      <w:rPr>
        <w:lang w:val="zh-CN"/>
      </w:rPr>
      <w:fldChar w:fldCharType="end"/>
    </w:r>
  </w:p>
  <w:p w14:paraId="6FD91DB6" w14:textId="77777777" w:rsidR="000320E6" w:rsidRDefault="000320E6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0761473" w14:textId="77777777" w:rsidR="005F2770" w:rsidRDefault="005F2770">
      <w:r>
        <w:separator/>
      </w:r>
    </w:p>
  </w:footnote>
  <w:footnote w:type="continuationSeparator" w:id="0">
    <w:p w14:paraId="1F0092B9" w14:textId="77777777" w:rsidR="005F2770" w:rsidRDefault="005F277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1CA075E"/>
    <w:multiLevelType w:val="hybridMultilevel"/>
    <w:tmpl w:val="DC507F24"/>
    <w:lvl w:ilvl="0" w:tplc="F7B692D8">
      <w:start w:val="1"/>
      <w:numFmt w:val="upp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614F"/>
    <w:rsid w:val="00001F84"/>
    <w:rsid w:val="0000343E"/>
    <w:rsid w:val="00010D33"/>
    <w:rsid w:val="00012152"/>
    <w:rsid w:val="00021479"/>
    <w:rsid w:val="000320E6"/>
    <w:rsid w:val="00033F61"/>
    <w:rsid w:val="000341C5"/>
    <w:rsid w:val="00037988"/>
    <w:rsid w:val="00047F62"/>
    <w:rsid w:val="0005057A"/>
    <w:rsid w:val="00063F2A"/>
    <w:rsid w:val="00085AE6"/>
    <w:rsid w:val="00096015"/>
    <w:rsid w:val="000A05A9"/>
    <w:rsid w:val="000A49E3"/>
    <w:rsid w:val="000B62A9"/>
    <w:rsid w:val="000C5D0E"/>
    <w:rsid w:val="000C7AE4"/>
    <w:rsid w:val="000E04FF"/>
    <w:rsid w:val="000E25CB"/>
    <w:rsid w:val="000F1EB1"/>
    <w:rsid w:val="0011103E"/>
    <w:rsid w:val="00121A03"/>
    <w:rsid w:val="00122C4F"/>
    <w:rsid w:val="0014740E"/>
    <w:rsid w:val="00147B00"/>
    <w:rsid w:val="00151A62"/>
    <w:rsid w:val="00161CE3"/>
    <w:rsid w:val="00163922"/>
    <w:rsid w:val="0016517A"/>
    <w:rsid w:val="0016796F"/>
    <w:rsid w:val="00170959"/>
    <w:rsid w:val="00174CAF"/>
    <w:rsid w:val="001864E8"/>
    <w:rsid w:val="001938FC"/>
    <w:rsid w:val="001A0893"/>
    <w:rsid w:val="001B1B73"/>
    <w:rsid w:val="001C0C5C"/>
    <w:rsid w:val="001C23AC"/>
    <w:rsid w:val="001C4F0A"/>
    <w:rsid w:val="001C6922"/>
    <w:rsid w:val="001E5530"/>
    <w:rsid w:val="001E57E5"/>
    <w:rsid w:val="00203B69"/>
    <w:rsid w:val="00217112"/>
    <w:rsid w:val="00231699"/>
    <w:rsid w:val="00236950"/>
    <w:rsid w:val="002542D0"/>
    <w:rsid w:val="00257B03"/>
    <w:rsid w:val="002756DD"/>
    <w:rsid w:val="00286D67"/>
    <w:rsid w:val="00294BAE"/>
    <w:rsid w:val="00296B6B"/>
    <w:rsid w:val="002C6135"/>
    <w:rsid w:val="002C790C"/>
    <w:rsid w:val="002F330C"/>
    <w:rsid w:val="0030478A"/>
    <w:rsid w:val="003125E5"/>
    <w:rsid w:val="00312DA4"/>
    <w:rsid w:val="0031306F"/>
    <w:rsid w:val="00313E18"/>
    <w:rsid w:val="003219F0"/>
    <w:rsid w:val="00324C86"/>
    <w:rsid w:val="00327326"/>
    <w:rsid w:val="0033110B"/>
    <w:rsid w:val="00332317"/>
    <w:rsid w:val="003334BE"/>
    <w:rsid w:val="0033448F"/>
    <w:rsid w:val="00341335"/>
    <w:rsid w:val="0034213C"/>
    <w:rsid w:val="00354F10"/>
    <w:rsid w:val="003626AB"/>
    <w:rsid w:val="0036295D"/>
    <w:rsid w:val="00374C42"/>
    <w:rsid w:val="00385FF8"/>
    <w:rsid w:val="00386D2A"/>
    <w:rsid w:val="003900A7"/>
    <w:rsid w:val="003B5239"/>
    <w:rsid w:val="003C1B66"/>
    <w:rsid w:val="003C26A2"/>
    <w:rsid w:val="003D1B84"/>
    <w:rsid w:val="003D61BB"/>
    <w:rsid w:val="003E264C"/>
    <w:rsid w:val="003E3468"/>
    <w:rsid w:val="003E4B32"/>
    <w:rsid w:val="003F312B"/>
    <w:rsid w:val="003F58D0"/>
    <w:rsid w:val="003F79C2"/>
    <w:rsid w:val="00402BB5"/>
    <w:rsid w:val="00406AA9"/>
    <w:rsid w:val="00407244"/>
    <w:rsid w:val="0042000E"/>
    <w:rsid w:val="00424695"/>
    <w:rsid w:val="004260ED"/>
    <w:rsid w:val="00430218"/>
    <w:rsid w:val="00433286"/>
    <w:rsid w:val="004372C0"/>
    <w:rsid w:val="004448A4"/>
    <w:rsid w:val="0046579C"/>
    <w:rsid w:val="00465E73"/>
    <w:rsid w:val="00486C38"/>
    <w:rsid w:val="0049246D"/>
    <w:rsid w:val="00494C53"/>
    <w:rsid w:val="00497EEB"/>
    <w:rsid w:val="004A1FE2"/>
    <w:rsid w:val="004A2AAB"/>
    <w:rsid w:val="004A489D"/>
    <w:rsid w:val="004A7195"/>
    <w:rsid w:val="004B2FC8"/>
    <w:rsid w:val="004B69F5"/>
    <w:rsid w:val="004B72E6"/>
    <w:rsid w:val="004D14A0"/>
    <w:rsid w:val="004D34EA"/>
    <w:rsid w:val="004D3BCC"/>
    <w:rsid w:val="004D45C7"/>
    <w:rsid w:val="004E37B8"/>
    <w:rsid w:val="004E394C"/>
    <w:rsid w:val="004F4047"/>
    <w:rsid w:val="004F6C0C"/>
    <w:rsid w:val="00506FF9"/>
    <w:rsid w:val="0050746B"/>
    <w:rsid w:val="00514DE8"/>
    <w:rsid w:val="00534568"/>
    <w:rsid w:val="00557080"/>
    <w:rsid w:val="005631E9"/>
    <w:rsid w:val="00564C01"/>
    <w:rsid w:val="00584AB0"/>
    <w:rsid w:val="00593AC1"/>
    <w:rsid w:val="005A0918"/>
    <w:rsid w:val="005B2D89"/>
    <w:rsid w:val="005C2FE3"/>
    <w:rsid w:val="005D257D"/>
    <w:rsid w:val="005E6DF5"/>
    <w:rsid w:val="005F2770"/>
    <w:rsid w:val="00600121"/>
    <w:rsid w:val="006056E8"/>
    <w:rsid w:val="00611CD2"/>
    <w:rsid w:val="00612735"/>
    <w:rsid w:val="00613E4B"/>
    <w:rsid w:val="00624880"/>
    <w:rsid w:val="0062528F"/>
    <w:rsid w:val="00626C57"/>
    <w:rsid w:val="0063529C"/>
    <w:rsid w:val="00637AC0"/>
    <w:rsid w:val="0064013A"/>
    <w:rsid w:val="006417F1"/>
    <w:rsid w:val="00645F14"/>
    <w:rsid w:val="006532A0"/>
    <w:rsid w:val="00660E9F"/>
    <w:rsid w:val="00667EC9"/>
    <w:rsid w:val="0067412B"/>
    <w:rsid w:val="00680365"/>
    <w:rsid w:val="00686F83"/>
    <w:rsid w:val="00687786"/>
    <w:rsid w:val="0069069B"/>
    <w:rsid w:val="006A24D8"/>
    <w:rsid w:val="006A26F9"/>
    <w:rsid w:val="006B0C6F"/>
    <w:rsid w:val="006E7A5E"/>
    <w:rsid w:val="006F3A44"/>
    <w:rsid w:val="006F60EC"/>
    <w:rsid w:val="00703CEB"/>
    <w:rsid w:val="00714313"/>
    <w:rsid w:val="007143DF"/>
    <w:rsid w:val="00735E27"/>
    <w:rsid w:val="0074614F"/>
    <w:rsid w:val="00746B3B"/>
    <w:rsid w:val="00754CE3"/>
    <w:rsid w:val="00767D27"/>
    <w:rsid w:val="007757DE"/>
    <w:rsid w:val="00784D1A"/>
    <w:rsid w:val="007860A4"/>
    <w:rsid w:val="00795BD2"/>
    <w:rsid w:val="00796DC9"/>
    <w:rsid w:val="007A05AF"/>
    <w:rsid w:val="007A47B7"/>
    <w:rsid w:val="007B6C11"/>
    <w:rsid w:val="007B6DD1"/>
    <w:rsid w:val="007C3AE0"/>
    <w:rsid w:val="007D3EEA"/>
    <w:rsid w:val="007D6851"/>
    <w:rsid w:val="007E799A"/>
    <w:rsid w:val="008010C3"/>
    <w:rsid w:val="00804FA3"/>
    <w:rsid w:val="00815492"/>
    <w:rsid w:val="00821755"/>
    <w:rsid w:val="00822442"/>
    <w:rsid w:val="00830ACA"/>
    <w:rsid w:val="00832CC9"/>
    <w:rsid w:val="00837220"/>
    <w:rsid w:val="00841CDD"/>
    <w:rsid w:val="00844FAA"/>
    <w:rsid w:val="008617C2"/>
    <w:rsid w:val="00875FA2"/>
    <w:rsid w:val="00876083"/>
    <w:rsid w:val="00881E02"/>
    <w:rsid w:val="00890440"/>
    <w:rsid w:val="00897DD4"/>
    <w:rsid w:val="008A2660"/>
    <w:rsid w:val="008A7B5C"/>
    <w:rsid w:val="008C7556"/>
    <w:rsid w:val="008D48D9"/>
    <w:rsid w:val="008D6A19"/>
    <w:rsid w:val="008D714A"/>
    <w:rsid w:val="008E4E04"/>
    <w:rsid w:val="008E5A26"/>
    <w:rsid w:val="008E6B3F"/>
    <w:rsid w:val="008E6E22"/>
    <w:rsid w:val="008F1D7F"/>
    <w:rsid w:val="008F696B"/>
    <w:rsid w:val="00916848"/>
    <w:rsid w:val="0091746C"/>
    <w:rsid w:val="00946DF6"/>
    <w:rsid w:val="00951942"/>
    <w:rsid w:val="00957FDB"/>
    <w:rsid w:val="00967066"/>
    <w:rsid w:val="009745BD"/>
    <w:rsid w:val="009776CD"/>
    <w:rsid w:val="00977A2E"/>
    <w:rsid w:val="00977B9D"/>
    <w:rsid w:val="0098284F"/>
    <w:rsid w:val="009915B9"/>
    <w:rsid w:val="009A1749"/>
    <w:rsid w:val="009A42B6"/>
    <w:rsid w:val="009A7A15"/>
    <w:rsid w:val="009B6856"/>
    <w:rsid w:val="009E076D"/>
    <w:rsid w:val="009E7E6D"/>
    <w:rsid w:val="009F048A"/>
    <w:rsid w:val="009F47A8"/>
    <w:rsid w:val="00A07BA7"/>
    <w:rsid w:val="00A14370"/>
    <w:rsid w:val="00A263B3"/>
    <w:rsid w:val="00A333EB"/>
    <w:rsid w:val="00A44372"/>
    <w:rsid w:val="00A47C65"/>
    <w:rsid w:val="00A66D59"/>
    <w:rsid w:val="00A82523"/>
    <w:rsid w:val="00A82C4E"/>
    <w:rsid w:val="00A933A2"/>
    <w:rsid w:val="00A94363"/>
    <w:rsid w:val="00A952E2"/>
    <w:rsid w:val="00AA1812"/>
    <w:rsid w:val="00AA6BCA"/>
    <w:rsid w:val="00AD2A05"/>
    <w:rsid w:val="00B0345D"/>
    <w:rsid w:val="00B27507"/>
    <w:rsid w:val="00B27D15"/>
    <w:rsid w:val="00B311E1"/>
    <w:rsid w:val="00B44DBA"/>
    <w:rsid w:val="00B46C18"/>
    <w:rsid w:val="00B621E4"/>
    <w:rsid w:val="00B72747"/>
    <w:rsid w:val="00B76524"/>
    <w:rsid w:val="00B81339"/>
    <w:rsid w:val="00B82F88"/>
    <w:rsid w:val="00B919B3"/>
    <w:rsid w:val="00B92302"/>
    <w:rsid w:val="00B94CFB"/>
    <w:rsid w:val="00BA2C94"/>
    <w:rsid w:val="00BB13D6"/>
    <w:rsid w:val="00BB20E8"/>
    <w:rsid w:val="00BD60A3"/>
    <w:rsid w:val="00C213F1"/>
    <w:rsid w:val="00C2294D"/>
    <w:rsid w:val="00C3062E"/>
    <w:rsid w:val="00C343A3"/>
    <w:rsid w:val="00C34B71"/>
    <w:rsid w:val="00C40532"/>
    <w:rsid w:val="00C4431D"/>
    <w:rsid w:val="00C67AE5"/>
    <w:rsid w:val="00CA285B"/>
    <w:rsid w:val="00CA3470"/>
    <w:rsid w:val="00CC0F9A"/>
    <w:rsid w:val="00CC33C5"/>
    <w:rsid w:val="00CC43C5"/>
    <w:rsid w:val="00CC44CB"/>
    <w:rsid w:val="00CD344D"/>
    <w:rsid w:val="00CD4662"/>
    <w:rsid w:val="00CF6598"/>
    <w:rsid w:val="00D04C9D"/>
    <w:rsid w:val="00D05571"/>
    <w:rsid w:val="00D21DA5"/>
    <w:rsid w:val="00D222B3"/>
    <w:rsid w:val="00D25406"/>
    <w:rsid w:val="00D307AB"/>
    <w:rsid w:val="00D34F89"/>
    <w:rsid w:val="00D36F52"/>
    <w:rsid w:val="00D37E67"/>
    <w:rsid w:val="00D52F3B"/>
    <w:rsid w:val="00D66861"/>
    <w:rsid w:val="00D746F0"/>
    <w:rsid w:val="00D7552A"/>
    <w:rsid w:val="00D7646B"/>
    <w:rsid w:val="00D769E5"/>
    <w:rsid w:val="00D937FC"/>
    <w:rsid w:val="00D96820"/>
    <w:rsid w:val="00DA20A7"/>
    <w:rsid w:val="00DA6507"/>
    <w:rsid w:val="00DC7AF3"/>
    <w:rsid w:val="00DD1379"/>
    <w:rsid w:val="00DE4D75"/>
    <w:rsid w:val="00DF43E5"/>
    <w:rsid w:val="00E03092"/>
    <w:rsid w:val="00E103F4"/>
    <w:rsid w:val="00E208AC"/>
    <w:rsid w:val="00E44F5E"/>
    <w:rsid w:val="00E46AE3"/>
    <w:rsid w:val="00E50E27"/>
    <w:rsid w:val="00E52582"/>
    <w:rsid w:val="00E544E0"/>
    <w:rsid w:val="00E61733"/>
    <w:rsid w:val="00E73C41"/>
    <w:rsid w:val="00E83AF9"/>
    <w:rsid w:val="00E9646F"/>
    <w:rsid w:val="00EC23DD"/>
    <w:rsid w:val="00EE0CB3"/>
    <w:rsid w:val="00F06495"/>
    <w:rsid w:val="00F0756D"/>
    <w:rsid w:val="00F07DB6"/>
    <w:rsid w:val="00F11934"/>
    <w:rsid w:val="00F12D8C"/>
    <w:rsid w:val="00F13AFA"/>
    <w:rsid w:val="00F1575B"/>
    <w:rsid w:val="00F17990"/>
    <w:rsid w:val="00F2010E"/>
    <w:rsid w:val="00F23403"/>
    <w:rsid w:val="00F331AB"/>
    <w:rsid w:val="00F50EEB"/>
    <w:rsid w:val="00F631D7"/>
    <w:rsid w:val="00F723F8"/>
    <w:rsid w:val="00F76A6A"/>
    <w:rsid w:val="00F846E9"/>
    <w:rsid w:val="00F85088"/>
    <w:rsid w:val="00F87C3B"/>
    <w:rsid w:val="00F968D6"/>
    <w:rsid w:val="00FB0381"/>
    <w:rsid w:val="00FB44B9"/>
    <w:rsid w:val="00FC4522"/>
    <w:rsid w:val="00FC7441"/>
    <w:rsid w:val="00FD04BF"/>
    <w:rsid w:val="00FD5743"/>
    <w:rsid w:val="00FD7E43"/>
    <w:rsid w:val="00FE519F"/>
    <w:rsid w:val="00FF1AF5"/>
    <w:rsid w:val="00FF4A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B4501A"/>
  <w15:chartTrackingRefBased/>
  <w15:docId w15:val="{4805F0D3-E5B0-754A-8470-D2073BC87B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F13AFA"/>
    <w:pPr>
      <w:widowControl w:val="0"/>
      <w:jc w:val="both"/>
    </w:pPr>
    <w:rPr>
      <w:szCs w:val="22"/>
    </w:rPr>
  </w:style>
  <w:style w:type="paragraph" w:styleId="1">
    <w:name w:val="heading 1"/>
    <w:aliases w:val="一级标题"/>
    <w:basedOn w:val="a"/>
    <w:next w:val="a"/>
    <w:link w:val="10"/>
    <w:autoRedefine/>
    <w:uiPriority w:val="99"/>
    <w:qFormat/>
    <w:rsid w:val="0014740E"/>
    <w:pPr>
      <w:widowControl/>
      <w:spacing w:before="100" w:beforeAutospacing="1" w:after="100" w:afterAutospacing="1" w:line="360" w:lineRule="auto"/>
      <w:jc w:val="left"/>
      <w:outlineLvl w:val="0"/>
    </w:pPr>
    <w:rPr>
      <w:rFonts w:ascii="宋体" w:eastAsia="宋体" w:hAnsi="宋体" w:cs="宋体"/>
      <w:b/>
      <w:bCs/>
      <w:kern w:val="36"/>
      <w:sz w:val="2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4614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4614F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4614F"/>
    <w:pPr>
      <w:keepNext/>
      <w:keepLines/>
      <w:spacing w:before="80" w:after="40"/>
      <w:outlineLvl w:val="3"/>
    </w:pPr>
    <w:rPr>
      <w:rFonts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4614F"/>
    <w:pPr>
      <w:keepNext/>
      <w:keepLines/>
      <w:spacing w:before="80" w:after="40"/>
      <w:outlineLvl w:val="4"/>
    </w:pPr>
    <w:rPr>
      <w:rFonts w:cstheme="majorBidi"/>
      <w:color w:val="0F4761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4614F"/>
    <w:pPr>
      <w:keepNext/>
      <w:keepLines/>
      <w:spacing w:before="40"/>
      <w:outlineLvl w:val="5"/>
    </w:pPr>
    <w:rPr>
      <w:rFonts w:cstheme="majorBidi"/>
      <w:b/>
      <w:bCs/>
      <w:color w:val="0F4761" w:themeColor="accent1" w:themeShade="BF"/>
      <w:szCs w:val="24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4614F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  <w:szCs w:val="24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4614F"/>
    <w:pPr>
      <w:keepNext/>
      <w:keepLines/>
      <w:outlineLvl w:val="7"/>
    </w:pPr>
    <w:rPr>
      <w:rFonts w:cstheme="majorBidi"/>
      <w:color w:val="595959" w:themeColor="text1" w:themeTint="A6"/>
      <w:szCs w:val="24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4614F"/>
    <w:pPr>
      <w:keepNext/>
      <w:keepLines/>
      <w:outlineLvl w:val="8"/>
    </w:pPr>
    <w:rPr>
      <w:rFonts w:eastAsiaTheme="majorEastAsia" w:cstheme="majorBidi"/>
      <w:color w:val="595959" w:themeColor="text1" w:themeTint="A6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Subtitle"/>
    <w:aliases w:val="二级标题"/>
    <w:basedOn w:val="a"/>
    <w:next w:val="a"/>
    <w:link w:val="a4"/>
    <w:autoRedefine/>
    <w:qFormat/>
    <w:rsid w:val="00686F83"/>
    <w:pPr>
      <w:spacing w:before="240" w:after="60" w:line="360" w:lineRule="auto"/>
      <w:ind w:leftChars="100" w:left="1050" w:rightChars="100" w:right="100"/>
      <w:jc w:val="left"/>
      <w:outlineLvl w:val="1"/>
    </w:pPr>
    <w:rPr>
      <w:rFonts w:asciiTheme="majorHAnsi" w:hAnsiTheme="majorHAnsi" w:cstheme="majorBidi"/>
      <w:b/>
      <w:bCs/>
      <w:kern w:val="28"/>
      <w:sz w:val="24"/>
      <w:szCs w:val="32"/>
    </w:rPr>
  </w:style>
  <w:style w:type="character" w:customStyle="1" w:styleId="a4">
    <w:name w:val="副标题 字符"/>
    <w:aliases w:val="二级标题 字符"/>
    <w:basedOn w:val="a0"/>
    <w:link w:val="a3"/>
    <w:rsid w:val="00686F83"/>
    <w:rPr>
      <w:rFonts w:asciiTheme="majorHAnsi" w:hAnsiTheme="majorHAnsi" w:cstheme="majorBidi"/>
      <w:b/>
      <w:bCs/>
      <w:kern w:val="28"/>
      <w:sz w:val="24"/>
      <w:szCs w:val="32"/>
    </w:rPr>
  </w:style>
  <w:style w:type="character" w:customStyle="1" w:styleId="10">
    <w:name w:val="标题 1 字符"/>
    <w:aliases w:val="一级标题 字符"/>
    <w:basedOn w:val="a0"/>
    <w:link w:val="1"/>
    <w:uiPriority w:val="99"/>
    <w:rsid w:val="0014740E"/>
    <w:rPr>
      <w:rFonts w:ascii="宋体" w:eastAsia="宋体" w:hAnsi="宋体" w:cs="宋体"/>
      <w:b/>
      <w:bCs/>
      <w:kern w:val="36"/>
      <w:sz w:val="28"/>
      <w:szCs w:val="48"/>
    </w:rPr>
  </w:style>
  <w:style w:type="table" w:styleId="a5">
    <w:name w:val="Table Grid"/>
    <w:aliases w:val="3"/>
    <w:basedOn w:val="a1"/>
    <w:uiPriority w:val="39"/>
    <w:rsid w:val="00637AC0"/>
    <w:tblPr>
      <w:tblBorders>
        <w:top w:val="single" w:sz="4" w:space="0" w:color="auto"/>
        <w:bottom w:val="single" w:sz="4" w:space="0" w:color="auto"/>
      </w:tblBorders>
    </w:tblPr>
    <w:tblStylePr w:type="firstRow">
      <w:tblPr/>
      <w:tcPr>
        <w:tcBorders>
          <w:bottom w:val="single" w:sz="4" w:space="0" w:color="auto"/>
        </w:tcBorders>
      </w:tcPr>
    </w:tblStylePr>
    <w:tblStylePr w:type="firstCol">
      <w:tblPr/>
      <w:tcPr>
        <w:tcBorders>
          <w:bottom w:val="single" w:sz="4" w:space="0" w:color="auto"/>
        </w:tcBorders>
      </w:tcPr>
    </w:tblStylePr>
  </w:style>
  <w:style w:type="table" w:customStyle="1" w:styleId="SCI">
    <w:name w:val="SCI"/>
    <w:basedOn w:val="a5"/>
    <w:uiPriority w:val="99"/>
    <w:rsid w:val="00FB0381"/>
    <w:tblPr/>
    <w:tblStylePr w:type="firstRow">
      <w:tblPr/>
      <w:tcPr>
        <w:tcBorders>
          <w:bottom w:val="single" w:sz="4" w:space="0" w:color="auto"/>
        </w:tcBorders>
      </w:tcPr>
    </w:tblStylePr>
    <w:tblStylePr w:type="firstCol">
      <w:tblPr/>
      <w:tcPr>
        <w:tcBorders>
          <w:bottom w:val="single" w:sz="4" w:space="0" w:color="auto"/>
        </w:tcBorders>
      </w:tcPr>
    </w:tblStylePr>
  </w:style>
  <w:style w:type="character" w:customStyle="1" w:styleId="20">
    <w:name w:val="标题 2 字符"/>
    <w:basedOn w:val="a0"/>
    <w:link w:val="2"/>
    <w:uiPriority w:val="9"/>
    <w:semiHidden/>
    <w:rsid w:val="0074614F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74614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74614F"/>
    <w:rPr>
      <w:rFonts w:cstheme="majorBidi"/>
      <w:color w:val="0F4761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74614F"/>
    <w:rPr>
      <w:rFonts w:cstheme="majorBidi"/>
      <w:color w:val="0F4761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74614F"/>
    <w:rPr>
      <w:rFonts w:cstheme="majorBidi"/>
      <w:b/>
      <w:bCs/>
      <w:color w:val="0F4761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74614F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74614F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74614F"/>
    <w:rPr>
      <w:rFonts w:eastAsiaTheme="majorEastAsia" w:cstheme="majorBidi"/>
      <w:color w:val="595959" w:themeColor="text1" w:themeTint="A6"/>
    </w:rPr>
  </w:style>
  <w:style w:type="paragraph" w:styleId="a6">
    <w:name w:val="Title"/>
    <w:basedOn w:val="a"/>
    <w:next w:val="a"/>
    <w:link w:val="a7"/>
    <w:uiPriority w:val="10"/>
    <w:qFormat/>
    <w:rsid w:val="0074614F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7">
    <w:name w:val="标题 字符"/>
    <w:basedOn w:val="a0"/>
    <w:link w:val="a6"/>
    <w:uiPriority w:val="10"/>
    <w:rsid w:val="0074614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8">
    <w:name w:val="Quote"/>
    <w:basedOn w:val="a"/>
    <w:next w:val="a"/>
    <w:link w:val="a9"/>
    <w:uiPriority w:val="29"/>
    <w:qFormat/>
    <w:rsid w:val="0074614F"/>
    <w:pPr>
      <w:spacing w:before="160" w:after="160"/>
      <w:jc w:val="center"/>
    </w:pPr>
    <w:rPr>
      <w:i/>
      <w:iCs/>
      <w:color w:val="404040" w:themeColor="text1" w:themeTint="BF"/>
      <w:szCs w:val="24"/>
    </w:rPr>
  </w:style>
  <w:style w:type="character" w:customStyle="1" w:styleId="a9">
    <w:name w:val="引用 字符"/>
    <w:basedOn w:val="a0"/>
    <w:link w:val="a8"/>
    <w:uiPriority w:val="29"/>
    <w:rsid w:val="0074614F"/>
    <w:rPr>
      <w:i/>
      <w:iCs/>
      <w:color w:val="404040" w:themeColor="text1" w:themeTint="BF"/>
    </w:rPr>
  </w:style>
  <w:style w:type="paragraph" w:styleId="aa">
    <w:name w:val="List Paragraph"/>
    <w:basedOn w:val="a"/>
    <w:uiPriority w:val="34"/>
    <w:qFormat/>
    <w:rsid w:val="0074614F"/>
    <w:pPr>
      <w:ind w:left="720"/>
      <w:contextualSpacing/>
    </w:pPr>
    <w:rPr>
      <w:szCs w:val="24"/>
    </w:rPr>
  </w:style>
  <w:style w:type="character" w:styleId="ab">
    <w:name w:val="Intense Emphasis"/>
    <w:basedOn w:val="a0"/>
    <w:uiPriority w:val="21"/>
    <w:qFormat/>
    <w:rsid w:val="0074614F"/>
    <w:rPr>
      <w:i/>
      <w:iCs/>
      <w:color w:val="0F4761" w:themeColor="accent1" w:themeShade="BF"/>
    </w:rPr>
  </w:style>
  <w:style w:type="paragraph" w:styleId="ac">
    <w:name w:val="Intense Quote"/>
    <w:basedOn w:val="a"/>
    <w:next w:val="a"/>
    <w:link w:val="ad"/>
    <w:uiPriority w:val="30"/>
    <w:qFormat/>
    <w:rsid w:val="0074614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  <w:szCs w:val="24"/>
    </w:rPr>
  </w:style>
  <w:style w:type="character" w:customStyle="1" w:styleId="ad">
    <w:name w:val="明显引用 字符"/>
    <w:basedOn w:val="a0"/>
    <w:link w:val="ac"/>
    <w:uiPriority w:val="30"/>
    <w:rsid w:val="0074614F"/>
    <w:rPr>
      <w:i/>
      <w:iCs/>
      <w:color w:val="0F4761" w:themeColor="accent1" w:themeShade="BF"/>
    </w:rPr>
  </w:style>
  <w:style w:type="character" w:styleId="ae">
    <w:name w:val="Intense Reference"/>
    <w:basedOn w:val="a0"/>
    <w:uiPriority w:val="32"/>
    <w:qFormat/>
    <w:rsid w:val="0074614F"/>
    <w:rPr>
      <w:b/>
      <w:bCs/>
      <w:smallCaps/>
      <w:color w:val="0F4761" w:themeColor="accent1" w:themeShade="BF"/>
      <w:spacing w:val="5"/>
    </w:rPr>
  </w:style>
  <w:style w:type="paragraph" w:styleId="af">
    <w:name w:val="footer"/>
    <w:basedOn w:val="a"/>
    <w:link w:val="af0"/>
    <w:autoRedefine/>
    <w:uiPriority w:val="99"/>
    <w:unhideWhenUsed/>
    <w:qFormat/>
    <w:rsid w:val="00F13AF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0">
    <w:name w:val="页脚 字符"/>
    <w:basedOn w:val="a0"/>
    <w:link w:val="af"/>
    <w:uiPriority w:val="99"/>
    <w:qFormat/>
    <w:rsid w:val="00F13AFA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654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6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94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14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941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9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05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217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96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1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5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422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3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950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90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98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3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image" Target="media/image7.tiff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image" Target="media/image6.jpeg"/><Relationship Id="rId17" Type="http://schemas.openxmlformats.org/officeDocument/2006/relationships/image" Target="media/image11.tiff"/><Relationship Id="rId2" Type="http://schemas.openxmlformats.org/officeDocument/2006/relationships/styles" Target="styles.xml"/><Relationship Id="rId16" Type="http://schemas.openxmlformats.org/officeDocument/2006/relationships/image" Target="media/image10.tiff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tiff"/><Relationship Id="rId5" Type="http://schemas.openxmlformats.org/officeDocument/2006/relationships/footnotes" Target="footnotes.xml"/><Relationship Id="rId15" Type="http://schemas.openxmlformats.org/officeDocument/2006/relationships/image" Target="media/image9.tiff"/><Relationship Id="rId10" Type="http://schemas.openxmlformats.org/officeDocument/2006/relationships/image" Target="media/image4.tiff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image" Target="media/image8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15</Pages>
  <Words>2014</Words>
  <Characters>12191</Characters>
  <Application>Microsoft Office Word</Application>
  <DocSecurity>0</DocSecurity>
  <Lines>206</Lines>
  <Paragraphs>14</Paragraphs>
  <ScaleCrop>false</ScaleCrop>
  <Company/>
  <LinksUpToDate>false</LinksUpToDate>
  <CharactersWithSpaces>14191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e740</dc:creator>
  <cp:keywords/>
  <dc:description/>
  <cp:lastModifiedBy>Erin Hee</cp:lastModifiedBy>
  <cp:revision>42</cp:revision>
  <dcterms:created xsi:type="dcterms:W3CDTF">2024-12-05T08:11:00Z</dcterms:created>
  <dcterms:modified xsi:type="dcterms:W3CDTF">2025-04-14T00:59:00Z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f5302b7f3fed6ca639c28500c5bbbd198656f5b7a8ba37ba2a2473de4b9cbd0b</vt:lpwstr>
  </property>
</Properties>
</file>